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E27" w14:textId="45FAB916" w:rsidR="00BF7162" w:rsidRDefault="00BF7162">
      <w:pPr>
        <w:rPr>
          <w:rFonts w:cstheme="minorHAnsi"/>
          <w:b/>
          <w:bCs/>
        </w:rPr>
      </w:pPr>
      <w:r w:rsidRPr="00EB4874">
        <w:rPr>
          <w:rFonts w:cstheme="minorHAnsi"/>
          <w:b/>
          <w:bCs/>
        </w:rPr>
        <w:t>Channel Islands Potting Soil – Current Practices</w:t>
      </w:r>
    </w:p>
    <w:p w14:paraId="3E9B60D3" w14:textId="677063F2" w:rsidR="004E5B16" w:rsidRPr="00EB4874" w:rsidRDefault="004E5B1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PLEASE EMAIL ANY EDITS/SUGGESTIONS TO JULIANA_MATOS@NPS.GOV</w:t>
      </w:r>
    </w:p>
    <w:p w14:paraId="2901E1AF" w14:textId="2968D04E" w:rsidR="0035530F" w:rsidRPr="00EB4874" w:rsidRDefault="0089129E">
      <w:pPr>
        <w:rPr>
          <w:rFonts w:cstheme="minorHAnsi"/>
        </w:rPr>
      </w:pPr>
      <w:r w:rsidRPr="00EB4874">
        <w:rPr>
          <w:rFonts w:cstheme="minorHAnsi"/>
        </w:rPr>
        <w:t xml:space="preserve">Importing potting soil from the mainland to the Channel Islands for nursery </w:t>
      </w:r>
      <w:r w:rsidR="00DB17F7" w:rsidRPr="00EB4874">
        <w:rPr>
          <w:rFonts w:cstheme="minorHAnsi"/>
        </w:rPr>
        <w:t xml:space="preserve">operations poses a </w:t>
      </w:r>
      <w:r w:rsidR="004E5BC3" w:rsidRPr="00EB4874">
        <w:rPr>
          <w:rFonts w:cstheme="minorHAnsi"/>
        </w:rPr>
        <w:t xml:space="preserve">biosecurity risk to the native island ecosystems. </w:t>
      </w:r>
      <w:r w:rsidR="00A83CAC" w:rsidRPr="00EB4874">
        <w:rPr>
          <w:rFonts w:cstheme="minorHAnsi"/>
        </w:rPr>
        <w:t>The purpose of this document is to identify current practices being used by the various land managing entities on the Channel Islands</w:t>
      </w:r>
      <w:r w:rsidR="00D0297D" w:rsidRPr="00EB4874">
        <w:rPr>
          <w:rFonts w:cstheme="minorHAnsi"/>
        </w:rPr>
        <w:t xml:space="preserve"> so that recommendations for </w:t>
      </w:r>
      <w:r w:rsidR="00E04732" w:rsidRPr="00EB4874">
        <w:rPr>
          <w:rFonts w:cstheme="minorHAnsi"/>
        </w:rPr>
        <w:t xml:space="preserve">best practices can be provided. While there may not be a one-size-fits-all solution, </w:t>
      </w:r>
      <w:r w:rsidR="0042202A" w:rsidRPr="00EB4874">
        <w:rPr>
          <w:rFonts w:cstheme="minorHAnsi"/>
        </w:rPr>
        <w:t>th</w:t>
      </w:r>
      <w:r w:rsidR="001C1CBB" w:rsidRPr="00EB4874">
        <w:rPr>
          <w:rFonts w:cstheme="minorHAnsi"/>
        </w:rPr>
        <w:t>is is an opportunity</w:t>
      </w:r>
      <w:r w:rsidR="00E3132C" w:rsidRPr="00EB4874">
        <w:rPr>
          <w:rFonts w:cstheme="minorHAnsi"/>
        </w:rPr>
        <w:t xml:space="preserve"> for </w:t>
      </w:r>
      <w:r w:rsidR="00EC71B8" w:rsidRPr="00EB4874">
        <w:rPr>
          <w:rFonts w:cstheme="minorHAnsi"/>
        </w:rPr>
        <w:t>knowledge</w:t>
      </w:r>
      <w:r w:rsidR="00E3132C" w:rsidRPr="00EB4874">
        <w:rPr>
          <w:rFonts w:cstheme="minorHAnsi"/>
        </w:rPr>
        <w:t xml:space="preserve"> sharing</w:t>
      </w:r>
      <w:r w:rsidR="00ED20D5" w:rsidRPr="00EB4874">
        <w:rPr>
          <w:rFonts w:cstheme="minorHAnsi"/>
        </w:rPr>
        <w:t xml:space="preserve"> </w:t>
      </w:r>
      <w:r w:rsidR="006F32AB" w:rsidRPr="00EB4874">
        <w:rPr>
          <w:rFonts w:cstheme="minorHAnsi"/>
        </w:rPr>
        <w:t xml:space="preserve">and improving upon current practices where appropriate. </w:t>
      </w:r>
    </w:p>
    <w:p w14:paraId="350C0738" w14:textId="77064263" w:rsidR="009E1E45" w:rsidRPr="00EB4874" w:rsidRDefault="004F0125">
      <w:pPr>
        <w:rPr>
          <w:rFonts w:cstheme="minorHAnsi"/>
        </w:rPr>
      </w:pPr>
      <w:r w:rsidRPr="00EB4874">
        <w:rPr>
          <w:rFonts w:cstheme="minorHAnsi"/>
        </w:rPr>
        <w:t>This document was developed with input from</w:t>
      </w:r>
      <w:r w:rsidR="009D1A8D" w:rsidRPr="00EB4874">
        <w:rPr>
          <w:rFonts w:cstheme="minorHAnsi"/>
        </w:rPr>
        <w:t xml:space="preserve"> staff at Channel Islands National Park, </w:t>
      </w:r>
      <w:r w:rsidR="002C6D4A" w:rsidRPr="00EB4874">
        <w:rPr>
          <w:rFonts w:cstheme="minorHAnsi"/>
        </w:rPr>
        <w:t>California Institute of Environmental Studies, Naval Base Ventura County</w:t>
      </w:r>
      <w:r w:rsidR="00A429D9" w:rsidRPr="00EB4874">
        <w:rPr>
          <w:rFonts w:cstheme="minorHAnsi"/>
        </w:rPr>
        <w:t xml:space="preserve"> San Nicolas Island</w:t>
      </w:r>
      <w:r w:rsidR="002C6D4A" w:rsidRPr="00EB4874">
        <w:rPr>
          <w:rFonts w:cstheme="minorHAnsi"/>
        </w:rPr>
        <w:t xml:space="preserve">, </w:t>
      </w:r>
      <w:r w:rsidR="00A429D9" w:rsidRPr="00EB4874">
        <w:rPr>
          <w:rFonts w:cstheme="minorHAnsi"/>
        </w:rPr>
        <w:t xml:space="preserve">San Diego State University on behalf of </w:t>
      </w:r>
      <w:r w:rsidR="002C6D4A" w:rsidRPr="00EB4874">
        <w:rPr>
          <w:rFonts w:cstheme="minorHAnsi"/>
        </w:rPr>
        <w:t>Naval Base</w:t>
      </w:r>
      <w:r w:rsidR="00A429D9" w:rsidRPr="00EB4874">
        <w:rPr>
          <w:rFonts w:cstheme="minorHAnsi"/>
        </w:rPr>
        <w:t xml:space="preserve"> Coronado</w:t>
      </w:r>
      <w:r w:rsidR="002C6D4A" w:rsidRPr="00EB4874">
        <w:rPr>
          <w:rFonts w:cstheme="minorHAnsi"/>
        </w:rPr>
        <w:t xml:space="preserve"> </w:t>
      </w:r>
      <w:r w:rsidR="00A429D9" w:rsidRPr="00EB4874">
        <w:rPr>
          <w:rFonts w:cstheme="minorHAnsi"/>
        </w:rPr>
        <w:t xml:space="preserve">San Clemente Island, and the Catalina Island Conservancy. </w:t>
      </w:r>
    </w:p>
    <w:p w14:paraId="0D73A513" w14:textId="5CD4D68C" w:rsidR="0082528B" w:rsidRPr="00EB4874" w:rsidRDefault="00315150">
      <w:pPr>
        <w:rPr>
          <w:rFonts w:cstheme="minorHAnsi"/>
          <w:u w:val="single"/>
        </w:rPr>
      </w:pPr>
      <w:r w:rsidRPr="00EB4874">
        <w:rPr>
          <w:rFonts w:cstheme="minorHAnsi"/>
          <w:u w:val="single"/>
        </w:rPr>
        <w:t>Biosecurity risks from potting soil</w:t>
      </w:r>
    </w:p>
    <w:p w14:paraId="6C379060" w14:textId="3A1AF348" w:rsidR="00315150" w:rsidRPr="00EB4874" w:rsidRDefault="00DC7397" w:rsidP="00315150">
      <w:pPr>
        <w:pStyle w:val="ListParagraph"/>
        <w:numPr>
          <w:ilvl w:val="0"/>
          <w:numId w:val="1"/>
        </w:numPr>
        <w:rPr>
          <w:rFonts w:cstheme="minorHAnsi"/>
        </w:rPr>
      </w:pPr>
      <w:r w:rsidRPr="00EB4874">
        <w:rPr>
          <w:rFonts w:cstheme="minorHAnsi"/>
        </w:rPr>
        <w:t>Nonnative i</w:t>
      </w:r>
      <w:r w:rsidR="00056AAB" w:rsidRPr="00EB4874">
        <w:rPr>
          <w:rFonts w:cstheme="minorHAnsi"/>
        </w:rPr>
        <w:t xml:space="preserve">nsects, gastropods, and other critters </w:t>
      </w:r>
      <w:r w:rsidRPr="00EB4874">
        <w:rPr>
          <w:rFonts w:cstheme="minorHAnsi"/>
        </w:rPr>
        <w:t xml:space="preserve">from the mainland </w:t>
      </w:r>
      <w:r w:rsidR="00056AAB" w:rsidRPr="00EB4874">
        <w:rPr>
          <w:rFonts w:cstheme="minorHAnsi"/>
        </w:rPr>
        <w:t>on outside</w:t>
      </w:r>
      <w:r w:rsidR="00BE751A" w:rsidRPr="00EB4874">
        <w:rPr>
          <w:rFonts w:cstheme="minorHAnsi"/>
        </w:rPr>
        <w:t xml:space="preserve"> or inside of packing material</w:t>
      </w:r>
    </w:p>
    <w:p w14:paraId="244C93EF" w14:textId="1C27C1CF" w:rsidR="00C45BA5" w:rsidRPr="00EB4874" w:rsidRDefault="00C45BA5" w:rsidP="00315150">
      <w:pPr>
        <w:pStyle w:val="ListParagraph"/>
        <w:numPr>
          <w:ilvl w:val="0"/>
          <w:numId w:val="1"/>
        </w:numPr>
        <w:rPr>
          <w:rFonts w:cstheme="minorHAnsi"/>
        </w:rPr>
      </w:pPr>
      <w:r w:rsidRPr="00EB4874">
        <w:rPr>
          <w:rFonts w:cstheme="minorHAnsi"/>
        </w:rPr>
        <w:t xml:space="preserve">Holes or punctures in packing material </w:t>
      </w:r>
      <w:r w:rsidR="00DC7397" w:rsidRPr="00EB4874">
        <w:rPr>
          <w:rFonts w:cstheme="minorHAnsi"/>
        </w:rPr>
        <w:t xml:space="preserve">allowing for insects or </w:t>
      </w:r>
      <w:r w:rsidR="004C44EE" w:rsidRPr="00EB4874">
        <w:rPr>
          <w:rFonts w:cstheme="minorHAnsi"/>
        </w:rPr>
        <w:t xml:space="preserve">pathogens to </w:t>
      </w:r>
      <w:r w:rsidR="002268CA" w:rsidRPr="00EB4874">
        <w:rPr>
          <w:rFonts w:cstheme="minorHAnsi"/>
        </w:rPr>
        <w:t>contaminate the material</w:t>
      </w:r>
    </w:p>
    <w:p w14:paraId="3A2086BE" w14:textId="170D55CD" w:rsidR="00DA2FCC" w:rsidRPr="00EB4874" w:rsidRDefault="00712F61" w:rsidP="00315150">
      <w:pPr>
        <w:pStyle w:val="ListParagraph"/>
        <w:numPr>
          <w:ilvl w:val="0"/>
          <w:numId w:val="1"/>
        </w:numPr>
        <w:rPr>
          <w:rFonts w:cstheme="minorHAnsi"/>
        </w:rPr>
      </w:pPr>
      <w:r w:rsidRPr="00EB4874">
        <w:rPr>
          <w:rFonts w:cstheme="minorHAnsi"/>
        </w:rPr>
        <w:t xml:space="preserve">Long-term storage </w:t>
      </w:r>
      <w:r w:rsidR="006B6B24" w:rsidRPr="00EB4874">
        <w:rPr>
          <w:rFonts w:cstheme="minorHAnsi"/>
        </w:rPr>
        <w:t xml:space="preserve">of materials </w:t>
      </w:r>
      <w:r w:rsidRPr="00EB4874">
        <w:rPr>
          <w:rFonts w:cstheme="minorHAnsi"/>
        </w:rPr>
        <w:t>result</w:t>
      </w:r>
      <w:r w:rsidR="006B6B24" w:rsidRPr="00EB4874">
        <w:rPr>
          <w:rFonts w:cstheme="minorHAnsi"/>
        </w:rPr>
        <w:t>s</w:t>
      </w:r>
      <w:r w:rsidRPr="00EB4874">
        <w:rPr>
          <w:rFonts w:cstheme="minorHAnsi"/>
        </w:rPr>
        <w:t xml:space="preserve"> in increased chances of </w:t>
      </w:r>
      <w:r w:rsidR="00631DE3" w:rsidRPr="00EB4874">
        <w:rPr>
          <w:rFonts w:cstheme="minorHAnsi"/>
        </w:rPr>
        <w:t>infestation</w:t>
      </w:r>
    </w:p>
    <w:p w14:paraId="75A15E7B" w14:textId="5F531A02" w:rsidR="006B6B24" w:rsidRPr="00EB4874" w:rsidRDefault="00EE47C4" w:rsidP="00315150">
      <w:pPr>
        <w:pStyle w:val="ListParagraph"/>
        <w:numPr>
          <w:ilvl w:val="0"/>
          <w:numId w:val="1"/>
        </w:numPr>
        <w:rPr>
          <w:rFonts w:cstheme="minorHAnsi"/>
        </w:rPr>
      </w:pPr>
      <w:r w:rsidRPr="00EB4874">
        <w:rPr>
          <w:rFonts w:cstheme="minorHAnsi"/>
          <w:i/>
          <w:iCs/>
        </w:rPr>
        <w:t>Risks specific to San Clemente Island</w:t>
      </w:r>
    </w:p>
    <w:p w14:paraId="27306391" w14:textId="728722CB" w:rsidR="008E5A73" w:rsidRPr="00EB4874" w:rsidRDefault="008E5A73" w:rsidP="008E5A73">
      <w:pPr>
        <w:pStyle w:val="ListParagraph"/>
        <w:numPr>
          <w:ilvl w:val="1"/>
          <w:numId w:val="1"/>
        </w:numPr>
        <w:rPr>
          <w:rFonts w:cstheme="minorHAnsi"/>
        </w:rPr>
      </w:pPr>
      <w:r w:rsidRPr="00EB4874">
        <w:rPr>
          <w:rFonts w:cstheme="minorHAnsi"/>
        </w:rPr>
        <w:t>Insects and pathogens in unpasteurized soil may get out when the soil is being stored in its trashcan</w:t>
      </w:r>
    </w:p>
    <w:p w14:paraId="0668818E" w14:textId="454EC965" w:rsidR="008E5A73" w:rsidRPr="00EB4874" w:rsidRDefault="008E5A73" w:rsidP="008E5A73">
      <w:pPr>
        <w:pStyle w:val="ListParagraph"/>
        <w:numPr>
          <w:ilvl w:val="1"/>
          <w:numId w:val="1"/>
        </w:numPr>
        <w:rPr>
          <w:rFonts w:cstheme="minorHAnsi"/>
        </w:rPr>
      </w:pPr>
      <w:r w:rsidRPr="00EB4874">
        <w:rPr>
          <w:rFonts w:cstheme="minorHAnsi"/>
        </w:rPr>
        <w:t>Insects and pathogens may get into the pasteurized soil or sand bins from the unpasteurized peat moss/perlite/vermiculite bins that are stored nearby</w:t>
      </w:r>
    </w:p>
    <w:p w14:paraId="1219A95A" w14:textId="7A910712" w:rsidR="00EE47C4" w:rsidRPr="00EB4874" w:rsidRDefault="008E5A73" w:rsidP="008E5A73">
      <w:pPr>
        <w:pStyle w:val="ListParagraph"/>
        <w:numPr>
          <w:ilvl w:val="1"/>
          <w:numId w:val="1"/>
        </w:numPr>
        <w:rPr>
          <w:rFonts w:cstheme="minorHAnsi"/>
        </w:rPr>
      </w:pPr>
      <w:r w:rsidRPr="00EB4874">
        <w:rPr>
          <w:rFonts w:cstheme="minorHAnsi"/>
        </w:rPr>
        <w:t>Insects and pathogens may reinfect pasteurized soil/sand when trays are left out overnight to cool</w:t>
      </w:r>
    </w:p>
    <w:p w14:paraId="11F3D180" w14:textId="69224F85" w:rsidR="00175DBB" w:rsidRPr="00EB4874" w:rsidRDefault="00BC2C2E" w:rsidP="00336D9B">
      <w:pPr>
        <w:rPr>
          <w:rFonts w:cstheme="minorHAnsi"/>
          <w:u w:val="single"/>
        </w:rPr>
      </w:pPr>
      <w:r w:rsidRPr="00EB4874">
        <w:rPr>
          <w:rFonts w:cstheme="minorHAnsi"/>
          <w:u w:val="single"/>
        </w:rPr>
        <w:t>Current biosecurity protocols used to minimize risks</w:t>
      </w:r>
    </w:p>
    <w:p w14:paraId="248EFD24" w14:textId="17F0E6EB" w:rsidR="002F5606" w:rsidRPr="00EB4874" w:rsidRDefault="002F5606" w:rsidP="00336D9B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EB4874">
        <w:rPr>
          <w:rFonts w:cstheme="minorHAnsi"/>
        </w:rPr>
        <w:t xml:space="preserve">Inspect packing materials for </w:t>
      </w:r>
      <w:r w:rsidR="006E0294" w:rsidRPr="00EB4874">
        <w:rPr>
          <w:rFonts w:cstheme="minorHAnsi"/>
        </w:rPr>
        <w:t>insects, gastropods, and other critters</w:t>
      </w:r>
    </w:p>
    <w:p w14:paraId="5FBE856B" w14:textId="598D80B1" w:rsidR="00336D9B" w:rsidRPr="00EB4874" w:rsidRDefault="00336D9B" w:rsidP="00336D9B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EB4874">
        <w:rPr>
          <w:rFonts w:cstheme="minorHAnsi"/>
        </w:rPr>
        <w:t>Only select bags without holes, whenever possible</w:t>
      </w:r>
      <w:r w:rsidR="00172D6A" w:rsidRPr="00EB4874">
        <w:rPr>
          <w:rFonts w:cstheme="minorHAnsi"/>
        </w:rPr>
        <w:t xml:space="preserve"> </w:t>
      </w:r>
    </w:p>
    <w:p w14:paraId="604B72B6" w14:textId="1B2336F2" w:rsidR="00336D9B" w:rsidRPr="00EB4874" w:rsidRDefault="00064757" w:rsidP="00064757">
      <w:pPr>
        <w:pStyle w:val="ListParagraph"/>
        <w:numPr>
          <w:ilvl w:val="1"/>
          <w:numId w:val="5"/>
        </w:numPr>
        <w:rPr>
          <w:rFonts w:cstheme="minorHAnsi"/>
        </w:rPr>
      </w:pPr>
      <w:r w:rsidRPr="00EB4874">
        <w:rPr>
          <w:rFonts w:cstheme="minorHAnsi"/>
        </w:rPr>
        <w:t>When using delivery service, visually inspect all bags for holes before clearing for transport</w:t>
      </w:r>
    </w:p>
    <w:p w14:paraId="30FF9B89" w14:textId="7C7017A3" w:rsidR="00D961EA" w:rsidRPr="00EB4874" w:rsidRDefault="00D961EA" w:rsidP="00D961EA">
      <w:pPr>
        <w:pStyle w:val="ListParagraph"/>
        <w:numPr>
          <w:ilvl w:val="2"/>
          <w:numId w:val="5"/>
        </w:numPr>
        <w:rPr>
          <w:rFonts w:cstheme="minorHAnsi"/>
          <w:i/>
          <w:iCs/>
        </w:rPr>
      </w:pPr>
      <w:r w:rsidRPr="00EB4874">
        <w:rPr>
          <w:rFonts w:cstheme="minorHAnsi"/>
          <w:i/>
          <w:iCs/>
        </w:rPr>
        <w:t xml:space="preserve">TIP: American Horticultural Supply (AHS) will </w:t>
      </w:r>
      <w:r w:rsidR="00F00D26" w:rsidRPr="00EB4874">
        <w:rPr>
          <w:rFonts w:cstheme="minorHAnsi"/>
          <w:i/>
          <w:iCs/>
        </w:rPr>
        <w:t>replace</w:t>
      </w:r>
      <w:r w:rsidRPr="00EB4874">
        <w:rPr>
          <w:rFonts w:cstheme="minorHAnsi"/>
          <w:i/>
          <w:iCs/>
        </w:rPr>
        <w:t xml:space="preserve"> bags at no cost if you take photos of bags with holes/rips)</w:t>
      </w:r>
    </w:p>
    <w:p w14:paraId="5919D2A7" w14:textId="4A9DACF5" w:rsidR="003E15EE" w:rsidRPr="00EB4874" w:rsidRDefault="003E15EE" w:rsidP="00D961EA">
      <w:pPr>
        <w:pStyle w:val="ListParagraph"/>
        <w:numPr>
          <w:ilvl w:val="2"/>
          <w:numId w:val="5"/>
        </w:numPr>
        <w:rPr>
          <w:rFonts w:cstheme="minorHAnsi"/>
        </w:rPr>
      </w:pPr>
      <w:r w:rsidRPr="00EB4874">
        <w:rPr>
          <w:rFonts w:eastAsia="Times New Roman" w:cstheme="minorHAnsi"/>
        </w:rPr>
        <w:t>Schedule soil delivery as close to transportation time as possible to minimize contamination</w:t>
      </w:r>
    </w:p>
    <w:p w14:paraId="1E011B4E" w14:textId="544AC0AF" w:rsidR="003E15EE" w:rsidRPr="00EB4874" w:rsidRDefault="003E15EE" w:rsidP="00D961EA">
      <w:pPr>
        <w:pStyle w:val="ListParagraph"/>
        <w:numPr>
          <w:ilvl w:val="2"/>
          <w:numId w:val="5"/>
        </w:numPr>
        <w:rPr>
          <w:rFonts w:cstheme="minorHAnsi"/>
        </w:rPr>
      </w:pPr>
      <w:r w:rsidRPr="00EB4874">
        <w:rPr>
          <w:rFonts w:eastAsia="Times New Roman" w:cstheme="minorHAnsi"/>
        </w:rPr>
        <w:t xml:space="preserve">If there is a lag between delivery and loading onto </w:t>
      </w:r>
      <w:r w:rsidR="00F00D26" w:rsidRPr="00EB4874">
        <w:rPr>
          <w:rFonts w:eastAsia="Times New Roman" w:cstheme="minorHAnsi"/>
        </w:rPr>
        <w:t>transport vessel, store soil indoors to minimize contamination</w:t>
      </w:r>
    </w:p>
    <w:p w14:paraId="365251D8" w14:textId="162F3C3D" w:rsidR="00D60CE1" w:rsidRPr="00EB4874" w:rsidRDefault="00126AA4" w:rsidP="00C863AE">
      <w:pPr>
        <w:pStyle w:val="ListParagraph"/>
        <w:numPr>
          <w:ilvl w:val="0"/>
          <w:numId w:val="5"/>
        </w:numPr>
        <w:rPr>
          <w:rFonts w:cstheme="minorHAnsi"/>
        </w:rPr>
      </w:pPr>
      <w:r w:rsidRPr="00EB4874">
        <w:rPr>
          <w:rFonts w:cstheme="minorHAnsi"/>
        </w:rPr>
        <w:t xml:space="preserve">Use source </w:t>
      </w:r>
      <w:r w:rsidR="00376B9D" w:rsidRPr="00EB4874">
        <w:rPr>
          <w:rFonts w:cstheme="minorHAnsi"/>
        </w:rPr>
        <w:t xml:space="preserve">like AHS, which has </w:t>
      </w:r>
      <w:r w:rsidR="003244EC" w:rsidRPr="00EB4874">
        <w:rPr>
          <w:rFonts w:cstheme="minorHAnsi"/>
        </w:rPr>
        <w:t xml:space="preserve">its </w:t>
      </w:r>
      <w:r w:rsidR="003244EC" w:rsidRPr="00EB4874">
        <w:rPr>
          <w:rFonts w:eastAsia="Times New Roman" w:cstheme="minorHAnsi"/>
        </w:rPr>
        <w:t>warehouse indoors and keeps soil on full pallets that are shrink-wrapped as</w:t>
      </w:r>
      <w:r w:rsidR="00F03D1E" w:rsidRPr="00EB4874">
        <w:rPr>
          <w:rFonts w:eastAsia="Times New Roman" w:cstheme="minorHAnsi"/>
        </w:rPr>
        <w:t xml:space="preserve"> kept elevated off the ground </w:t>
      </w:r>
    </w:p>
    <w:p w14:paraId="2D26A6DC" w14:textId="3CC42EA7" w:rsidR="00F03D1E" w:rsidRPr="00EB4874" w:rsidRDefault="00AA026F" w:rsidP="00C863AE">
      <w:pPr>
        <w:pStyle w:val="ListParagraph"/>
        <w:numPr>
          <w:ilvl w:val="0"/>
          <w:numId w:val="5"/>
        </w:numPr>
        <w:rPr>
          <w:rFonts w:cstheme="minorHAnsi"/>
        </w:rPr>
      </w:pPr>
      <w:r w:rsidRPr="00EB4874">
        <w:rPr>
          <w:rFonts w:cstheme="minorHAnsi"/>
        </w:rPr>
        <w:t>Soil constituents are kept in clean, sealed</w:t>
      </w:r>
      <w:r w:rsidR="00BC3ACE" w:rsidRPr="00EB4874">
        <w:rPr>
          <w:rFonts w:cstheme="minorHAnsi"/>
        </w:rPr>
        <w:t xml:space="preserve"> rolling garbage cans</w:t>
      </w:r>
    </w:p>
    <w:p w14:paraId="4D3EA21F" w14:textId="3B32AA34" w:rsidR="00BC3ACE" w:rsidRPr="00EB4874" w:rsidRDefault="00BC3ACE" w:rsidP="00C863AE">
      <w:pPr>
        <w:pStyle w:val="ListParagraph"/>
        <w:numPr>
          <w:ilvl w:val="0"/>
          <w:numId w:val="5"/>
        </w:numPr>
        <w:rPr>
          <w:rFonts w:cstheme="minorHAnsi"/>
        </w:rPr>
      </w:pPr>
      <w:r w:rsidRPr="00EB4874">
        <w:rPr>
          <w:rFonts w:cstheme="minorHAnsi"/>
        </w:rPr>
        <w:t xml:space="preserve">Plants in pots are kept on </w:t>
      </w:r>
      <w:proofErr w:type="spellStart"/>
      <w:r w:rsidRPr="00EB4874">
        <w:rPr>
          <w:rFonts w:cstheme="minorHAnsi"/>
        </w:rPr>
        <w:t>biosecure</w:t>
      </w:r>
      <w:proofErr w:type="spellEnd"/>
      <w:r w:rsidRPr="00EB4874">
        <w:rPr>
          <w:rFonts w:cstheme="minorHAnsi"/>
        </w:rPr>
        <w:t xml:space="preserve"> tables meant to exclude ants and snails from getting into stock plants</w:t>
      </w:r>
    </w:p>
    <w:p w14:paraId="21B85BCB" w14:textId="554D8E8A" w:rsidR="00992432" w:rsidRPr="00EB4874" w:rsidRDefault="00B66653" w:rsidP="00C863AE">
      <w:pPr>
        <w:pStyle w:val="ListParagraph"/>
        <w:numPr>
          <w:ilvl w:val="0"/>
          <w:numId w:val="5"/>
        </w:numPr>
        <w:rPr>
          <w:rFonts w:cstheme="minorHAnsi"/>
        </w:rPr>
      </w:pPr>
      <w:r w:rsidRPr="00EB4874">
        <w:rPr>
          <w:rFonts w:cstheme="minorHAnsi"/>
        </w:rPr>
        <w:t>During grow-out process and prior to out-planting, p</w:t>
      </w:r>
      <w:r w:rsidR="00BB01F7" w:rsidRPr="00EB4874">
        <w:rPr>
          <w:rFonts w:cstheme="minorHAnsi"/>
        </w:rPr>
        <w:t xml:space="preserve">lants are routinely monitored for pests </w:t>
      </w:r>
      <w:r w:rsidRPr="00EB4874">
        <w:rPr>
          <w:rFonts w:cstheme="minorHAnsi"/>
        </w:rPr>
        <w:t>and treated as needed</w:t>
      </w:r>
    </w:p>
    <w:p w14:paraId="1B623979" w14:textId="56EF19B6" w:rsidR="00B66653" w:rsidRPr="00EB4874" w:rsidRDefault="00410F67" w:rsidP="00C863AE">
      <w:pPr>
        <w:pStyle w:val="ListParagraph"/>
        <w:numPr>
          <w:ilvl w:val="0"/>
          <w:numId w:val="5"/>
        </w:numPr>
        <w:rPr>
          <w:rFonts w:cstheme="minorHAnsi"/>
        </w:rPr>
      </w:pPr>
      <w:r w:rsidRPr="00EB4874">
        <w:rPr>
          <w:rFonts w:cstheme="minorHAnsi"/>
          <w:i/>
          <w:iCs/>
        </w:rPr>
        <w:t>Protocols specific to San Clemente Island</w:t>
      </w:r>
    </w:p>
    <w:p w14:paraId="091B21E5" w14:textId="77777777" w:rsidR="00CB42FB" w:rsidRPr="00EB4874" w:rsidRDefault="00CB42FB" w:rsidP="00CB42FB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 xml:space="preserve">Potting soil and sand are pasteurized in an oven before use. </w:t>
      </w:r>
    </w:p>
    <w:p w14:paraId="70EFFE11" w14:textId="6CCCBA1D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Potting soil bags are opened and dumped into a 32-gallon trash can with a lid for easy access during pasteurization process. The trash can is stored near the other unpasteurized material on the open-air concrete pad</w:t>
      </w:r>
      <w:r w:rsidR="001D5FAA" w:rsidRPr="00EB4874">
        <w:rPr>
          <w:rFonts w:eastAsia="Times New Roman" w:cstheme="minorHAnsi"/>
        </w:rPr>
        <w:t>.</w:t>
      </w:r>
    </w:p>
    <w:p w14:paraId="41F2D500" w14:textId="77777777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proofErr w:type="gramStart"/>
      <w:r w:rsidRPr="00EB4874">
        <w:rPr>
          <w:rFonts w:eastAsia="Times New Roman" w:cstheme="minorHAnsi"/>
        </w:rPr>
        <w:t>Sand bags</w:t>
      </w:r>
      <w:proofErr w:type="gramEnd"/>
      <w:r w:rsidRPr="00EB4874">
        <w:rPr>
          <w:rFonts w:eastAsia="Times New Roman" w:cstheme="minorHAnsi"/>
        </w:rPr>
        <w:t xml:space="preserve"> are opened and dumped into a five gallon bucket with a lid for easy access during the pasteurization process. The five-gallon bucket is stored next to the unpasteurized potting soil trash can.</w:t>
      </w:r>
    </w:p>
    <w:p w14:paraId="1BE24089" w14:textId="77777777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 xml:space="preserve">Soil or sand is placed on a deep metal baking tray, covered in foil, and placed into an oven set to 250° F / 120 C for about 2 hours. Meat or soil thermometers are poked into the soil/sand to monitor temperature. A tray of soil/sand must be at 180° F for at least 30 minutes to be </w:t>
      </w:r>
      <w:r w:rsidRPr="00EB4874">
        <w:rPr>
          <w:rFonts w:eastAsia="Times New Roman" w:cstheme="minorHAnsi"/>
        </w:rPr>
        <w:lastRenderedPageBreak/>
        <w:t>considered pasteurized. We have a note to not let the soil exceed 212° F because then it can release toxins.</w:t>
      </w:r>
    </w:p>
    <w:p w14:paraId="51D291F3" w14:textId="77777777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The trays are pulled out of the oven and left on a table, with the foil on, for approximately 30 minutes to ≥ 12 hours to cool before the soil is brought into the greenhouse to be stored.</w:t>
      </w:r>
    </w:p>
    <w:p w14:paraId="1635EA60" w14:textId="77777777" w:rsidR="00CB42FB" w:rsidRPr="00EB4874" w:rsidRDefault="00CB42FB" w:rsidP="00CB42FB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Media storage inside the greenhouse is a series of lidded 32-gallon trashcans and five-gallon buckets on wooden pallets.</w:t>
      </w:r>
    </w:p>
    <w:p w14:paraId="2D6D2936" w14:textId="77777777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Pasteurized potting soil is stored in a 32-gallon trash can with a lid.</w:t>
      </w:r>
    </w:p>
    <w:p w14:paraId="4FD2C945" w14:textId="77777777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Pasteurized sand is stored in a five-gallon bucket with a lid.</w:t>
      </w:r>
    </w:p>
    <w:p w14:paraId="64802EEF" w14:textId="6B8133EA" w:rsidR="00CB42FB" w:rsidRPr="00EB4874" w:rsidRDefault="00CB42FB" w:rsidP="00CB42FB">
      <w:pPr>
        <w:pStyle w:val="ListParagraph"/>
        <w:numPr>
          <w:ilvl w:val="2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 xml:space="preserve">Peat moss, perlite, and vermiculite are not pasteurized and are stored in trash cans with lids next to the pasteurized media trashcans. </w:t>
      </w:r>
    </w:p>
    <w:p w14:paraId="76AD5B69" w14:textId="77777777" w:rsidR="007E73E7" w:rsidRPr="00EB4874" w:rsidRDefault="007E73E7" w:rsidP="007E73E7">
      <w:pPr>
        <w:pStyle w:val="ListParagraph"/>
        <w:numPr>
          <w:ilvl w:val="0"/>
          <w:numId w:val="5"/>
        </w:numPr>
        <w:rPr>
          <w:rFonts w:cstheme="minorHAnsi"/>
        </w:rPr>
      </w:pPr>
      <w:r w:rsidRPr="00EB4874">
        <w:rPr>
          <w:rFonts w:cstheme="minorHAnsi"/>
          <w:i/>
          <w:iCs/>
        </w:rPr>
        <w:t>Protocols specific to Catalina Island</w:t>
      </w:r>
    </w:p>
    <w:p w14:paraId="7398D41C" w14:textId="77777777" w:rsidR="007E73E7" w:rsidRPr="00EB4874" w:rsidRDefault="007E73E7" w:rsidP="007E73E7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 xml:space="preserve">Bags are stored in shipping container, stacked on wooden pallets on top of a concrete pad outside of the </w:t>
      </w:r>
      <w:proofErr w:type="spellStart"/>
      <w:r w:rsidRPr="00EB4874">
        <w:rPr>
          <w:rFonts w:eastAsia="Times New Roman" w:cstheme="minorHAnsi"/>
        </w:rPr>
        <w:t>hoophouses</w:t>
      </w:r>
      <w:proofErr w:type="spellEnd"/>
      <w:r w:rsidRPr="00EB4874">
        <w:rPr>
          <w:rFonts w:eastAsia="Times New Roman" w:cstheme="minorHAnsi"/>
        </w:rPr>
        <w:t xml:space="preserve"> at center of nursery</w:t>
      </w:r>
    </w:p>
    <w:p w14:paraId="490E37DF" w14:textId="77777777" w:rsidR="007E73E7" w:rsidRPr="00EB4874" w:rsidRDefault="007E73E7" w:rsidP="007E73E7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Potting soil and sand have not historically been sterilized before use, but now have the equipment necessary and will begin to do so in 2022</w:t>
      </w:r>
    </w:p>
    <w:p w14:paraId="56B19BA8" w14:textId="3AC0ADEE" w:rsidR="007E73E7" w:rsidRPr="00EB4874" w:rsidRDefault="00E26A27" w:rsidP="00E26A27">
      <w:pPr>
        <w:pStyle w:val="ListParagraph"/>
        <w:numPr>
          <w:ilvl w:val="1"/>
          <w:numId w:val="5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</w:rPr>
      </w:pPr>
      <w:r w:rsidRPr="00EB4874">
        <w:rPr>
          <w:rFonts w:eastAsia="Times New Roman" w:cstheme="minorHAnsi"/>
        </w:rPr>
        <w:t>The following recipe is used for one batch of potting mix: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4874" w:rsidRPr="00EB4874" w14:paraId="703E5F6D" w14:textId="77777777" w:rsidTr="00EB4874">
        <w:tc>
          <w:tcPr>
            <w:tcW w:w="4674" w:type="dxa"/>
            <w:gridSpan w:val="2"/>
            <w:shd w:val="clear" w:color="auto" w:fill="EDEDED" w:themeFill="accent3" w:themeFillTint="33"/>
          </w:tcPr>
          <w:p w14:paraId="2943F733" w14:textId="3BE66A26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jc w:val="center"/>
              <w:rPr>
                <w:rFonts w:eastAsia="Times New Roman" w:cstheme="minorHAnsi"/>
                <w:b/>
                <w:bCs/>
              </w:rPr>
            </w:pPr>
            <w:r w:rsidRPr="00EB4874">
              <w:rPr>
                <w:rFonts w:eastAsia="Times New Roman" w:cstheme="minorHAnsi"/>
                <w:b/>
                <w:bCs/>
              </w:rPr>
              <w:t>Basic Potting Mix</w:t>
            </w:r>
          </w:p>
        </w:tc>
        <w:tc>
          <w:tcPr>
            <w:tcW w:w="4676" w:type="dxa"/>
            <w:gridSpan w:val="2"/>
            <w:shd w:val="clear" w:color="auto" w:fill="E2EFD9" w:themeFill="accent6" w:themeFillTint="33"/>
          </w:tcPr>
          <w:p w14:paraId="58CA9EE3" w14:textId="0BB02C63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jc w:val="center"/>
              <w:rPr>
                <w:rFonts w:eastAsia="Times New Roman" w:cstheme="minorHAnsi"/>
                <w:b/>
                <w:bCs/>
              </w:rPr>
            </w:pPr>
            <w:r w:rsidRPr="00EB4874">
              <w:rPr>
                <w:rFonts w:eastAsia="Times New Roman" w:cstheme="minorHAnsi"/>
                <w:b/>
                <w:bCs/>
              </w:rPr>
              <w:t>Seed Mix</w:t>
            </w:r>
          </w:p>
        </w:tc>
      </w:tr>
      <w:tr w:rsidR="00EB4874" w:rsidRPr="00EB4874" w14:paraId="1CC91559" w14:textId="77777777" w:rsidTr="00EB4874">
        <w:tc>
          <w:tcPr>
            <w:tcW w:w="2337" w:type="dxa"/>
          </w:tcPr>
          <w:p w14:paraId="23DFC732" w14:textId="4ADA0257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  <w:b/>
                <w:bCs/>
              </w:rPr>
            </w:pPr>
            <w:r w:rsidRPr="00EB4874">
              <w:rPr>
                <w:rFonts w:eastAsia="Times New Roman" w:cstheme="minorHAnsi"/>
                <w:b/>
                <w:bCs/>
              </w:rPr>
              <w:t>Constituent</w:t>
            </w:r>
          </w:p>
        </w:tc>
        <w:tc>
          <w:tcPr>
            <w:tcW w:w="2337" w:type="dxa"/>
          </w:tcPr>
          <w:p w14:paraId="5AE98089" w14:textId="49DEEC2F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  <w:b/>
                <w:bCs/>
              </w:rPr>
            </w:pPr>
            <w:r w:rsidRPr="00EB4874">
              <w:rPr>
                <w:rFonts w:eastAsia="Times New Roman" w:cstheme="minorHAnsi"/>
                <w:b/>
                <w:bCs/>
              </w:rPr>
              <w:t>Quantity</w:t>
            </w:r>
          </w:p>
        </w:tc>
        <w:tc>
          <w:tcPr>
            <w:tcW w:w="2338" w:type="dxa"/>
          </w:tcPr>
          <w:p w14:paraId="4AF4EA86" w14:textId="30DCF57A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  <w:b/>
                <w:bCs/>
              </w:rPr>
            </w:pPr>
            <w:r w:rsidRPr="00EB4874">
              <w:rPr>
                <w:rFonts w:eastAsia="Times New Roman" w:cstheme="minorHAnsi"/>
                <w:b/>
                <w:bCs/>
              </w:rPr>
              <w:t>Constituent</w:t>
            </w:r>
          </w:p>
        </w:tc>
        <w:tc>
          <w:tcPr>
            <w:tcW w:w="2338" w:type="dxa"/>
          </w:tcPr>
          <w:p w14:paraId="30D5FFF5" w14:textId="1DC8FC4F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  <w:b/>
                <w:bCs/>
              </w:rPr>
            </w:pPr>
            <w:r w:rsidRPr="00EB4874">
              <w:rPr>
                <w:rFonts w:eastAsia="Times New Roman" w:cstheme="minorHAnsi"/>
                <w:b/>
                <w:bCs/>
              </w:rPr>
              <w:t>Quantity</w:t>
            </w:r>
          </w:p>
        </w:tc>
      </w:tr>
      <w:tr w:rsidR="00EB4874" w:rsidRPr="00EB4874" w14:paraId="3FEF350D" w14:textId="77777777" w:rsidTr="00EB4874">
        <w:tc>
          <w:tcPr>
            <w:tcW w:w="2337" w:type="dxa"/>
          </w:tcPr>
          <w:p w14:paraId="6944CBC6" w14:textId="43666A0E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Coir</w:t>
            </w:r>
          </w:p>
        </w:tc>
        <w:tc>
          <w:tcPr>
            <w:tcW w:w="2337" w:type="dxa"/>
          </w:tcPr>
          <w:p w14:paraId="0F4A5FF9" w14:textId="545660E4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5.6 cu. ft. (4 bags)</w:t>
            </w:r>
          </w:p>
        </w:tc>
        <w:tc>
          <w:tcPr>
            <w:tcW w:w="2338" w:type="dxa"/>
          </w:tcPr>
          <w:p w14:paraId="33507C4B" w14:textId="0A11E36B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Coir</w:t>
            </w:r>
          </w:p>
        </w:tc>
        <w:tc>
          <w:tcPr>
            <w:tcW w:w="2338" w:type="dxa"/>
          </w:tcPr>
          <w:p w14:paraId="31BD22DD" w14:textId="035CF7D4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1.4 cu. ft. (1 bag)</w:t>
            </w:r>
          </w:p>
        </w:tc>
      </w:tr>
      <w:tr w:rsidR="00EB4874" w:rsidRPr="00EB4874" w14:paraId="04FD14EF" w14:textId="77777777" w:rsidTr="00EB4874">
        <w:tc>
          <w:tcPr>
            <w:tcW w:w="2337" w:type="dxa"/>
          </w:tcPr>
          <w:p w14:paraId="56D31979" w14:textId="31986C0E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Conditioner</w:t>
            </w:r>
          </w:p>
        </w:tc>
        <w:tc>
          <w:tcPr>
            <w:tcW w:w="2337" w:type="dxa"/>
          </w:tcPr>
          <w:p w14:paraId="7B852A6B" w14:textId="1471421B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3 cu. ft. (1 bag)</w:t>
            </w:r>
          </w:p>
        </w:tc>
        <w:tc>
          <w:tcPr>
            <w:tcW w:w="2338" w:type="dxa"/>
          </w:tcPr>
          <w:p w14:paraId="3EB9478D" w14:textId="7A622EB6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Conditioner</w:t>
            </w:r>
          </w:p>
        </w:tc>
        <w:tc>
          <w:tcPr>
            <w:tcW w:w="2338" w:type="dxa"/>
          </w:tcPr>
          <w:p w14:paraId="64FACFA7" w14:textId="498F9D0D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1.5 cu. ft. (0.5 bag)</w:t>
            </w:r>
          </w:p>
        </w:tc>
      </w:tr>
      <w:tr w:rsidR="00EB4874" w:rsidRPr="00EB4874" w14:paraId="79ED7393" w14:textId="77777777" w:rsidTr="00EB4874">
        <w:tc>
          <w:tcPr>
            <w:tcW w:w="2337" w:type="dxa"/>
          </w:tcPr>
          <w:p w14:paraId="7C18D170" w14:textId="57B09BBF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Sun-Gro Fertilizer</w:t>
            </w:r>
          </w:p>
        </w:tc>
        <w:tc>
          <w:tcPr>
            <w:tcW w:w="2337" w:type="dxa"/>
          </w:tcPr>
          <w:p w14:paraId="5F27B3DD" w14:textId="0A6224CB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1 cup</w:t>
            </w:r>
          </w:p>
        </w:tc>
        <w:tc>
          <w:tcPr>
            <w:tcW w:w="2338" w:type="dxa"/>
          </w:tcPr>
          <w:p w14:paraId="112C20FF" w14:textId="3BB11D39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Vermiculite</w:t>
            </w:r>
          </w:p>
        </w:tc>
        <w:tc>
          <w:tcPr>
            <w:tcW w:w="2338" w:type="dxa"/>
          </w:tcPr>
          <w:p w14:paraId="64FA85D7" w14:textId="1E55FA0A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1 cu. ft. (0.25 bag)</w:t>
            </w:r>
          </w:p>
        </w:tc>
      </w:tr>
      <w:tr w:rsidR="00EB4874" w:rsidRPr="00EB4874" w14:paraId="6B1A0402" w14:textId="77777777" w:rsidTr="00EB4874">
        <w:tc>
          <w:tcPr>
            <w:tcW w:w="2337" w:type="dxa"/>
          </w:tcPr>
          <w:p w14:paraId="5D1A0020" w14:textId="6E1F5196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Vermiculite</w:t>
            </w:r>
          </w:p>
        </w:tc>
        <w:tc>
          <w:tcPr>
            <w:tcW w:w="2337" w:type="dxa"/>
          </w:tcPr>
          <w:p w14:paraId="4983AD42" w14:textId="07D32451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4 cu. ft. (1 bag)</w:t>
            </w:r>
          </w:p>
        </w:tc>
        <w:tc>
          <w:tcPr>
            <w:tcW w:w="2338" w:type="dxa"/>
          </w:tcPr>
          <w:p w14:paraId="5B9A8A73" w14:textId="14BADFE9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Perlite</w:t>
            </w:r>
          </w:p>
        </w:tc>
        <w:tc>
          <w:tcPr>
            <w:tcW w:w="2338" w:type="dxa"/>
          </w:tcPr>
          <w:p w14:paraId="52BE56F0" w14:textId="69DBFC4F" w:rsidR="00EB4874" w:rsidRPr="00EB4874" w:rsidRDefault="00EB4874" w:rsidP="00EB4874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2 cu. ft. (0.5 bag)</w:t>
            </w:r>
          </w:p>
        </w:tc>
      </w:tr>
      <w:tr w:rsidR="00EB4874" w:rsidRPr="00EB4874" w14:paraId="202A1635" w14:textId="77777777" w:rsidTr="00EB4874">
        <w:tc>
          <w:tcPr>
            <w:tcW w:w="2337" w:type="dxa"/>
          </w:tcPr>
          <w:p w14:paraId="15DAE772" w14:textId="1B0B4BD5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Perlite</w:t>
            </w:r>
          </w:p>
        </w:tc>
        <w:tc>
          <w:tcPr>
            <w:tcW w:w="2337" w:type="dxa"/>
          </w:tcPr>
          <w:p w14:paraId="09EDB099" w14:textId="05AAADB7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  <w:r w:rsidRPr="00EB4874">
              <w:rPr>
                <w:rFonts w:eastAsia="Times New Roman" w:cstheme="minorHAnsi"/>
              </w:rPr>
              <w:t>4 cu. ft. (1 bag)</w:t>
            </w:r>
          </w:p>
        </w:tc>
        <w:tc>
          <w:tcPr>
            <w:tcW w:w="2338" w:type="dxa"/>
          </w:tcPr>
          <w:p w14:paraId="7E9C8930" w14:textId="77777777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</w:p>
        </w:tc>
        <w:tc>
          <w:tcPr>
            <w:tcW w:w="2338" w:type="dxa"/>
          </w:tcPr>
          <w:p w14:paraId="5647EBB3" w14:textId="77777777" w:rsidR="00EB4874" w:rsidRPr="00EB4874" w:rsidRDefault="00EB4874" w:rsidP="00E26A27">
            <w:pPr>
              <w:pStyle w:val="ListParagraph"/>
              <w:spacing w:beforeAutospacing="1" w:afterAutospacing="1"/>
              <w:ind w:left="0"/>
              <w:rPr>
                <w:rFonts w:eastAsia="Times New Roman" w:cstheme="minorHAnsi"/>
              </w:rPr>
            </w:pPr>
          </w:p>
        </w:tc>
      </w:tr>
    </w:tbl>
    <w:p w14:paraId="0CDD622C" w14:textId="77777777" w:rsidR="00E26A27" w:rsidRPr="00EB4874" w:rsidRDefault="00E26A27" w:rsidP="00E26A27">
      <w:pPr>
        <w:pStyle w:val="ListParagraph"/>
        <w:shd w:val="clear" w:color="auto" w:fill="FFFFFF"/>
        <w:spacing w:beforeAutospacing="1" w:after="0" w:afterAutospacing="1" w:line="240" w:lineRule="auto"/>
        <w:ind w:left="1440"/>
        <w:rPr>
          <w:rFonts w:eastAsia="Times New Roman" w:cstheme="minorHAnsi"/>
        </w:rPr>
      </w:pPr>
    </w:p>
    <w:p w14:paraId="69C9B54B" w14:textId="31FA1043" w:rsidR="00D60CE1" w:rsidRPr="00EB4874" w:rsidRDefault="00D60CE1" w:rsidP="00D60CE1">
      <w:pPr>
        <w:rPr>
          <w:rFonts w:cstheme="minorHAnsi"/>
        </w:rPr>
      </w:pPr>
    </w:p>
    <w:p w14:paraId="107BD925" w14:textId="7A460920" w:rsidR="00D60CE1" w:rsidRPr="00EB4874" w:rsidRDefault="00D60CE1" w:rsidP="00D60CE1">
      <w:pPr>
        <w:rPr>
          <w:rFonts w:cstheme="minorHAnsi"/>
        </w:rPr>
      </w:pPr>
    </w:p>
    <w:p w14:paraId="6BD902AA" w14:textId="0C594187" w:rsidR="00D60CE1" w:rsidRPr="00EB4874" w:rsidRDefault="00C74A11" w:rsidP="00C74A11">
      <w:pPr>
        <w:jc w:val="center"/>
        <w:rPr>
          <w:rFonts w:cstheme="minorHAnsi"/>
          <w:b/>
          <w:bCs/>
        </w:rPr>
      </w:pPr>
      <w:r w:rsidRPr="00EB4874">
        <w:rPr>
          <w:rFonts w:cstheme="minorHAnsi"/>
          <w:b/>
          <w:bCs/>
        </w:rPr>
        <w:t>CONTINUE TO NEXT PAGE</w:t>
      </w:r>
    </w:p>
    <w:p w14:paraId="0CE4D9D0" w14:textId="4284AD25" w:rsidR="00D60CE1" w:rsidRPr="00EB4874" w:rsidRDefault="00D60CE1" w:rsidP="00D60CE1">
      <w:pPr>
        <w:rPr>
          <w:rFonts w:cstheme="minorHAnsi"/>
        </w:rPr>
      </w:pPr>
    </w:p>
    <w:p w14:paraId="76F34133" w14:textId="6D193CC8" w:rsidR="00D60CE1" w:rsidRPr="00EB4874" w:rsidRDefault="00D60CE1" w:rsidP="00D60CE1">
      <w:pPr>
        <w:rPr>
          <w:rFonts w:cstheme="minorHAnsi"/>
        </w:rPr>
      </w:pPr>
    </w:p>
    <w:p w14:paraId="7C3DBD36" w14:textId="6790CADC" w:rsidR="00D60CE1" w:rsidRPr="00EB4874" w:rsidRDefault="00D60CE1" w:rsidP="00D60CE1">
      <w:pPr>
        <w:rPr>
          <w:rFonts w:cstheme="minorHAnsi"/>
        </w:rPr>
      </w:pPr>
    </w:p>
    <w:p w14:paraId="38C338B5" w14:textId="346348FA" w:rsidR="00D60CE1" w:rsidRPr="00EB4874" w:rsidRDefault="00D60CE1" w:rsidP="00D60CE1">
      <w:pPr>
        <w:rPr>
          <w:rFonts w:cstheme="minorHAnsi"/>
        </w:rPr>
      </w:pPr>
    </w:p>
    <w:p w14:paraId="5FF374C3" w14:textId="19D343CB" w:rsidR="00D60CE1" w:rsidRPr="00EB4874" w:rsidRDefault="00D60CE1" w:rsidP="00D60CE1">
      <w:pPr>
        <w:rPr>
          <w:rFonts w:cstheme="minorHAnsi"/>
        </w:rPr>
      </w:pPr>
    </w:p>
    <w:p w14:paraId="58DC8C40" w14:textId="1FFD545C" w:rsidR="00D60CE1" w:rsidRPr="00EB4874" w:rsidRDefault="00D60CE1" w:rsidP="00D60CE1">
      <w:pPr>
        <w:rPr>
          <w:rFonts w:cstheme="minorHAnsi"/>
        </w:rPr>
      </w:pPr>
    </w:p>
    <w:p w14:paraId="549A107B" w14:textId="6E099AAF" w:rsidR="00D60CE1" w:rsidRPr="00EB4874" w:rsidRDefault="00D60CE1" w:rsidP="00D60CE1">
      <w:pPr>
        <w:rPr>
          <w:rFonts w:cstheme="minorHAnsi"/>
        </w:rPr>
      </w:pPr>
    </w:p>
    <w:p w14:paraId="01800B09" w14:textId="28341BA2" w:rsidR="00456A5B" w:rsidRPr="00EB4874" w:rsidRDefault="00456A5B" w:rsidP="00D60CE1">
      <w:pPr>
        <w:rPr>
          <w:rFonts w:cstheme="minorHAnsi"/>
        </w:rPr>
      </w:pPr>
    </w:p>
    <w:p w14:paraId="1C531BF2" w14:textId="77777777" w:rsidR="00C74A11" w:rsidRPr="00EB4874" w:rsidRDefault="00C74A11" w:rsidP="00D60CE1">
      <w:pPr>
        <w:rPr>
          <w:rFonts w:cstheme="minorHAnsi"/>
        </w:rPr>
        <w:sectPr w:rsidR="00C74A11" w:rsidRPr="00EB4874" w:rsidSect="00C74A11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DA9139" w14:textId="1E020E7A" w:rsidR="00D60CE1" w:rsidRPr="00EB4874" w:rsidRDefault="00D60CE1" w:rsidP="00D60CE1">
      <w:pPr>
        <w:rPr>
          <w:rFonts w:cstheme="minorHAnsi"/>
        </w:rPr>
      </w:pPr>
    </w:p>
    <w:p w14:paraId="58A4ACDE" w14:textId="6C012F55" w:rsidR="009E1E45" w:rsidRPr="00EB4874" w:rsidRDefault="00FA0BD3">
      <w:pPr>
        <w:rPr>
          <w:rFonts w:cstheme="minorHAnsi"/>
          <w:b/>
          <w:bCs/>
        </w:rPr>
      </w:pPr>
      <w:r w:rsidRPr="00EB4874">
        <w:rPr>
          <w:rFonts w:cstheme="minorHAnsi"/>
          <w:b/>
          <w:bCs/>
        </w:rPr>
        <w:t xml:space="preserve">POTTING </w:t>
      </w:r>
      <w:r w:rsidR="00D60CE1" w:rsidRPr="00EB4874">
        <w:rPr>
          <w:rFonts w:cstheme="minorHAnsi"/>
          <w:b/>
          <w:bCs/>
        </w:rPr>
        <w:t xml:space="preserve">MATERIALS </w:t>
      </w:r>
      <w:r w:rsidR="00BC2C2E" w:rsidRPr="00EB4874">
        <w:rPr>
          <w:rFonts w:cstheme="minorHAnsi"/>
          <w:b/>
          <w:bCs/>
        </w:rPr>
        <w:t>CURRENTLY USED</w:t>
      </w:r>
    </w:p>
    <w:tbl>
      <w:tblPr>
        <w:tblStyle w:val="GridTable2-Accent3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BF7162" w:rsidRPr="00EB4874" w14:paraId="019D2D55" w14:textId="77777777" w:rsidTr="00BF7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auto"/>
            </w:tcBorders>
            <w:vAlign w:val="center"/>
            <w:hideMark/>
          </w:tcPr>
          <w:p w14:paraId="5BA997A1" w14:textId="59065728" w:rsidR="00BF7162" w:rsidRPr="00BF7162" w:rsidRDefault="00BF7162" w:rsidP="00BF71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2AF5C3" w14:textId="77777777" w:rsidR="00BF7162" w:rsidRPr="00BF7162" w:rsidRDefault="00BF7162" w:rsidP="00BF7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Potting Soil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2E73F" w14:textId="77777777" w:rsidR="00BF7162" w:rsidRPr="00BF7162" w:rsidRDefault="00BF7162" w:rsidP="00BF7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Perlite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0E3894" w14:textId="77777777" w:rsidR="00BF7162" w:rsidRPr="00BF7162" w:rsidRDefault="00BF7162" w:rsidP="00BF71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Sphagnum Peat Moss</w:t>
            </w:r>
          </w:p>
        </w:tc>
      </w:tr>
      <w:tr w:rsidR="00BF7162" w:rsidRPr="00EB4874" w14:paraId="22F9C40A" w14:textId="77777777" w:rsidTr="00BF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vMerge/>
            <w:tcBorders>
              <w:left w:val="single" w:sz="4" w:space="0" w:color="D0CECE" w:themeColor="background2" w:themeShade="E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0C5C3" w14:textId="3B407CA3" w:rsidR="00BF7162" w:rsidRPr="00BF7162" w:rsidRDefault="00BF7162" w:rsidP="00BF71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F7FF1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C0512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B46CA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77ADE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15511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092C6A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BF7162" w:rsidRPr="00EB4874" w14:paraId="572FD4DB" w14:textId="77777777" w:rsidTr="00BF71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2E26BD4" w14:textId="77777777" w:rsidR="00BF7162" w:rsidRPr="00BF7162" w:rsidRDefault="00BF7162" w:rsidP="00BF71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San Nicolas Island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4F86B3" w14:textId="33FA51EE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EF3CF8" w14:textId="2525F3B3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02DBEC" w14:textId="77777777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5BBC0CE" w14:textId="77777777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EE07109" w14:textId="77777777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35D23B5" w14:textId="77777777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</w:tr>
      <w:tr w:rsidR="00BF7162" w:rsidRPr="00EB4874" w14:paraId="27933718" w14:textId="77777777" w:rsidTr="00BF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A5F" w14:textId="77777777" w:rsidR="00BF7162" w:rsidRPr="00BF7162" w:rsidRDefault="00BF7162" w:rsidP="00BF71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San Clemente Island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317F2C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Miracle Gro Potting Mix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A9A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Home Depot in SD (pickup)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B42197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Therm</w:t>
            </w:r>
            <w:proofErr w:type="spellEnd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-o-rock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D0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AHS in San Marcos (pickup)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99054C1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SunShine</w:t>
            </w:r>
            <w:proofErr w:type="spellEnd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Sun-Gro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40D0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Home Depot in SD (pickup) OR AHS in San Marcos (pickup)</w:t>
            </w:r>
          </w:p>
        </w:tc>
      </w:tr>
      <w:tr w:rsidR="00BF7162" w:rsidRPr="00EB4874" w14:paraId="00BD9EA3" w14:textId="77777777" w:rsidTr="00BF7162">
        <w:trPr>
          <w:trHeight w:val="1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5B54ACA" w14:textId="2B97E3F2" w:rsidR="00BF7162" w:rsidRPr="00BF7162" w:rsidRDefault="00D0297D" w:rsidP="00BF71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Channel Islands National Park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70314A1" w14:textId="77777777" w:rsidR="00BF7162" w:rsidRPr="00BF7162" w:rsidRDefault="00847273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BF7162" w:rsidRPr="00BF7162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Berger Mix 6 BM6 General Use - Berger</w:t>
              </w:r>
            </w:hyperlink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3B37E2" w14:textId="77777777" w:rsidR="00BF7162" w:rsidRPr="00BF7162" w:rsidRDefault="00BF7162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AHS in Oxnard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BB94F" w14:textId="78863E7B" w:rsidR="00BF7162" w:rsidRPr="00BF7162" w:rsidRDefault="0082528B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660EE3A" w14:textId="5117F1F7" w:rsidR="00BF7162" w:rsidRPr="00BF7162" w:rsidRDefault="0082528B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FA021CD" w14:textId="1EAA5F2F" w:rsidR="00BF7162" w:rsidRPr="00BF7162" w:rsidRDefault="0082528B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3DA3B1" w14:textId="0912485F" w:rsidR="00BF7162" w:rsidRPr="00BF7162" w:rsidRDefault="0082528B" w:rsidP="00BF71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F7162" w:rsidRPr="00EB4874" w14:paraId="4F77F31B" w14:textId="77777777" w:rsidTr="00BF7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4D2" w14:textId="77777777" w:rsidR="00BF7162" w:rsidRPr="00BF7162" w:rsidRDefault="00BF7162" w:rsidP="00BF716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Catalina Island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32934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G&amp;B Soil building conditioner (compost)</w:t>
            </w:r>
          </w:p>
        </w:tc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AF15" w14:textId="149F355F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Kellogg Garden Products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95E2A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718A" w14:textId="77777777" w:rsidR="00BF7162" w:rsidRPr="00BF7162" w:rsidRDefault="00BF7162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Kellog</w:t>
            </w:r>
            <w:proofErr w:type="spellEnd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Garden Products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66D6A" w14:textId="1D6F2421" w:rsidR="00BF7162" w:rsidRPr="00BF7162" w:rsidRDefault="0082528B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2A69" w14:textId="4BC9C1A1" w:rsidR="00BF7162" w:rsidRPr="00BF7162" w:rsidRDefault="0082528B" w:rsidP="00BF71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</w:tbl>
    <w:p w14:paraId="0684C54E" w14:textId="24DC4412" w:rsidR="00BF7162" w:rsidRPr="00EB4874" w:rsidRDefault="00BF7162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1"/>
        <w:gridCol w:w="2143"/>
        <w:gridCol w:w="1387"/>
        <w:gridCol w:w="1387"/>
        <w:gridCol w:w="1387"/>
        <w:gridCol w:w="1859"/>
        <w:gridCol w:w="1390"/>
        <w:gridCol w:w="1387"/>
        <w:gridCol w:w="1384"/>
      </w:tblGrid>
      <w:tr w:rsidR="00BF7162" w:rsidRPr="00EB4874" w14:paraId="1D2BCC1D" w14:textId="77777777" w:rsidTr="00BF7162">
        <w:trPr>
          <w:trHeight w:val="300"/>
        </w:trPr>
        <w:tc>
          <w:tcPr>
            <w:tcW w:w="716" w:type="pct"/>
            <w:vMerge w:val="restart"/>
            <w:tcBorders>
              <w:top w:val="single" w:sz="8" w:space="0" w:color="CCCCCC"/>
              <w:left w:val="single" w:sz="8" w:space="0" w:color="CCCCCC"/>
              <w:right w:val="single" w:sz="4" w:space="0" w:color="auto"/>
            </w:tcBorders>
            <w:vAlign w:val="center"/>
          </w:tcPr>
          <w:p w14:paraId="6FC07F6A" w14:textId="5239A42D" w:rsidR="00BF7162" w:rsidRPr="00EB4874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CCCCC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D6E429A" w14:textId="5B914993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Vermiculite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CCCCC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9FDDC8B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Sand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CCCCC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B02AF18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Fertilizer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CCCCCC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103E317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Seed Starting Mix</w:t>
            </w:r>
          </w:p>
        </w:tc>
      </w:tr>
      <w:tr w:rsidR="00BF7162" w:rsidRPr="00EB4874" w14:paraId="469AA392" w14:textId="77777777" w:rsidTr="00BF7162">
        <w:trPr>
          <w:trHeight w:val="300"/>
        </w:trPr>
        <w:tc>
          <w:tcPr>
            <w:tcW w:w="716" w:type="pct"/>
            <w:vMerge/>
            <w:tcBorders>
              <w:left w:val="single" w:sz="8" w:space="0" w:color="CCCCCC"/>
              <w:bottom w:val="single" w:sz="8" w:space="0" w:color="CCCCCC"/>
              <w:right w:val="single" w:sz="4" w:space="0" w:color="auto"/>
            </w:tcBorders>
            <w:vAlign w:val="center"/>
          </w:tcPr>
          <w:p w14:paraId="5A0D94F7" w14:textId="39DDF855" w:rsidR="00BF7162" w:rsidRPr="00EB4874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CCCCCC"/>
              <w:right w:val="single" w:sz="4" w:space="0" w:color="D0CECE" w:themeColor="background2" w:themeShade="E6"/>
            </w:tcBorders>
            <w:shd w:val="clear" w:color="auto" w:fill="auto"/>
            <w:vAlign w:val="bottom"/>
            <w:hideMark/>
          </w:tcPr>
          <w:p w14:paraId="34423772" w14:textId="46E4FEBE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482" w:type="pct"/>
            <w:tcBorders>
              <w:top w:val="nil"/>
              <w:left w:val="single" w:sz="4" w:space="0" w:color="D0CECE" w:themeColor="background2" w:themeShade="E6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F21E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8" w:space="0" w:color="CCCCCC"/>
              <w:right w:val="single" w:sz="4" w:space="0" w:color="D0CECE" w:themeColor="background2" w:themeShade="E6"/>
            </w:tcBorders>
            <w:shd w:val="clear" w:color="auto" w:fill="auto"/>
            <w:vAlign w:val="bottom"/>
            <w:hideMark/>
          </w:tcPr>
          <w:p w14:paraId="5B3663B4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482" w:type="pct"/>
            <w:tcBorders>
              <w:top w:val="nil"/>
              <w:left w:val="single" w:sz="4" w:space="0" w:color="D0CECE" w:themeColor="background2" w:themeShade="E6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E581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8" w:space="0" w:color="CCCCCC"/>
              <w:right w:val="single" w:sz="4" w:space="0" w:color="D0CECE" w:themeColor="background2" w:themeShade="E6"/>
            </w:tcBorders>
            <w:shd w:val="clear" w:color="auto" w:fill="auto"/>
            <w:vAlign w:val="bottom"/>
            <w:hideMark/>
          </w:tcPr>
          <w:p w14:paraId="07C05C09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483" w:type="pct"/>
            <w:tcBorders>
              <w:top w:val="nil"/>
              <w:left w:val="single" w:sz="4" w:space="0" w:color="D0CECE" w:themeColor="background2" w:themeShade="E6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7465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8" w:space="0" w:color="CCCCCC"/>
              <w:right w:val="single" w:sz="4" w:space="0" w:color="D0CECE" w:themeColor="background2" w:themeShade="E6"/>
            </w:tcBorders>
            <w:shd w:val="clear" w:color="auto" w:fill="auto"/>
            <w:vAlign w:val="bottom"/>
            <w:hideMark/>
          </w:tcPr>
          <w:p w14:paraId="4259508F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481" w:type="pct"/>
            <w:tcBorders>
              <w:top w:val="nil"/>
              <w:left w:val="single" w:sz="4" w:space="0" w:color="D0CECE" w:themeColor="background2" w:themeShade="E6"/>
              <w:bottom w:val="single" w:sz="8" w:space="0" w:color="CCCCCC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602D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BF7162" w:rsidRPr="00EB4874" w14:paraId="27D0C6F9" w14:textId="77777777" w:rsidTr="00BF7162">
        <w:trPr>
          <w:trHeight w:val="300"/>
        </w:trPr>
        <w:tc>
          <w:tcPr>
            <w:tcW w:w="716" w:type="pct"/>
            <w:tcBorders>
              <w:top w:val="nil"/>
              <w:left w:val="single" w:sz="8" w:space="0" w:color="CCCCCC"/>
              <w:bottom w:val="single" w:sz="8" w:space="0" w:color="CCCCCC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23915" w14:textId="586F4808" w:rsidR="00BF7162" w:rsidRPr="00EB4874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San Nicolas Island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3581F061" w14:textId="5618AEAE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482" w:type="pct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4EF98FF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06CD4DB9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482" w:type="pct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D2B78F1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From on-island dunes</w:t>
            </w:r>
          </w:p>
        </w:tc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57CB7B02" w14:textId="7B889DD4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82528B"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3AE42D" w14:textId="1CFF694D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52507421" w14:textId="3C3E96F4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383F166" w14:textId="3BFE7BE2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F7162" w:rsidRPr="00EB4874" w14:paraId="3F2667FF" w14:textId="77777777" w:rsidTr="00BF7162">
        <w:trPr>
          <w:trHeight w:val="1010"/>
        </w:trPr>
        <w:tc>
          <w:tcPr>
            <w:tcW w:w="716" w:type="pct"/>
            <w:tcBorders>
              <w:top w:val="nil"/>
              <w:left w:val="single" w:sz="8" w:space="0" w:color="CCCCCC"/>
              <w:bottom w:val="single" w:sz="8" w:space="0" w:color="CCCCCC"/>
              <w:right w:val="single" w:sz="4" w:space="0" w:color="auto"/>
            </w:tcBorders>
            <w:vAlign w:val="center"/>
          </w:tcPr>
          <w:p w14:paraId="076346F1" w14:textId="402B3C3D" w:rsidR="00BF7162" w:rsidRPr="00EB4874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San Clemente Island</w:t>
            </w:r>
          </w:p>
        </w:tc>
        <w:tc>
          <w:tcPr>
            <w:tcW w:w="745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8" w:space="0" w:color="CCCCCC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0F6E0E1C" w14:textId="6684955F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Therm</w:t>
            </w:r>
            <w:proofErr w:type="spellEnd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-o-rock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FEDF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AHS in San Marcos (pickup)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42817B6A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Quickrete</w:t>
            </w:r>
            <w:proofErr w:type="spellEnd"/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Washed Plaster Sand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7981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Home Depot in SD (pickup)</w:t>
            </w:r>
          </w:p>
        </w:tc>
        <w:tc>
          <w:tcPr>
            <w:tcW w:w="646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4F0A4E90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Liquid fertilizer/fertilizer beads. No bagged manure fertilizer</w:t>
            </w:r>
          </w:p>
        </w:tc>
        <w:tc>
          <w:tcPr>
            <w:tcW w:w="483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829" w14:textId="119D8F67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6DC9F288" w14:textId="784054EE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BFC" w14:textId="5707351B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BF7162" w:rsidRPr="00EB4874" w14:paraId="43355B81" w14:textId="77777777" w:rsidTr="00BF7162">
        <w:trPr>
          <w:trHeight w:val="1180"/>
        </w:trPr>
        <w:tc>
          <w:tcPr>
            <w:tcW w:w="716" w:type="pct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F47DCD" w14:textId="167D8788" w:rsidR="00BF7162" w:rsidRPr="00EB4874" w:rsidRDefault="00D0297D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B487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Channel Islands National Park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3F706872" w14:textId="4A8D3662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663A9D7" w14:textId="266C24D2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4877816F" w14:textId="688C776C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AD617B" w14:textId="6FCE51B5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35818393" w14:textId="77777777" w:rsidR="00BF7162" w:rsidRPr="00BF7162" w:rsidRDefault="00847273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r:id="rId10" w:history="1">
              <w:proofErr w:type="spellStart"/>
              <w:proofErr w:type="gramStart"/>
              <w:r w:rsidR="00BF7162" w:rsidRPr="00BF7162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Osmocote</w:t>
              </w:r>
              <w:proofErr w:type="spellEnd"/>
              <w:r w:rsidR="00BF7162" w:rsidRPr="00BF7162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 xml:space="preserve">  </w:t>
              </w:r>
              <w:proofErr w:type="spellStart"/>
              <w:r w:rsidR="00BF7162" w:rsidRPr="00BF7162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Osmocote</w:t>
              </w:r>
              <w:proofErr w:type="spellEnd"/>
              <w:proofErr w:type="gramEnd"/>
              <w:r w:rsidR="00BF7162" w:rsidRPr="00BF7162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® 14-14-14, 3-4M | ICL Specialty Fertilizers (icl-sf.com)</w:t>
              </w:r>
            </w:hyperlink>
          </w:p>
        </w:tc>
        <w:tc>
          <w:tcPr>
            <w:tcW w:w="483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4A17AB7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AHS in Oxnard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DEDED" w:themeFill="accent3" w:themeFillTint="33"/>
            <w:vAlign w:val="center"/>
            <w:hideMark/>
          </w:tcPr>
          <w:p w14:paraId="01ED8FEE" w14:textId="77777777" w:rsidR="00BF7162" w:rsidRPr="00BF7162" w:rsidRDefault="00847273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BF7162" w:rsidRPr="00BF7162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</w:rPr>
                <w:t>Berger Mix 2 BM2 Seedlings - Shepherd (berger.ca)</w:t>
              </w:r>
            </w:hyperlink>
          </w:p>
        </w:tc>
        <w:tc>
          <w:tcPr>
            <w:tcW w:w="48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1B761F3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AHS in Oxnard</w:t>
            </w:r>
          </w:p>
        </w:tc>
      </w:tr>
      <w:tr w:rsidR="00BF7162" w:rsidRPr="00EB4874" w14:paraId="348C9E1D" w14:textId="77777777" w:rsidTr="00BF7162">
        <w:trPr>
          <w:trHeight w:val="880"/>
        </w:trPr>
        <w:tc>
          <w:tcPr>
            <w:tcW w:w="71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4" w:space="0" w:color="auto"/>
            </w:tcBorders>
            <w:vAlign w:val="center"/>
          </w:tcPr>
          <w:p w14:paraId="7E88B1EC" w14:textId="46B456E8" w:rsidR="00BF7162" w:rsidRPr="00EB4874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Catalina Island</w:t>
            </w:r>
          </w:p>
        </w:tc>
        <w:tc>
          <w:tcPr>
            <w:tcW w:w="745" w:type="pct"/>
            <w:tcBorders>
              <w:top w:val="single" w:sz="8" w:space="0" w:color="CCCCCC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7104457E" w14:textId="038ACA8A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E69D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0D9DE7FC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✓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4F1" w14:textId="77777777" w:rsidR="00BF7162" w:rsidRPr="00BF7162" w:rsidRDefault="00BF7162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7162">
              <w:rPr>
                <w:rFonts w:eastAsia="Symbol" w:cstheme="minorHAnsi"/>
                <w:color w:val="000000"/>
                <w:sz w:val="20"/>
                <w:szCs w:val="20"/>
              </w:rPr>
              <w:t>Washed beach sand from Catalina (Little Harbor)</w:t>
            </w:r>
          </w:p>
        </w:tc>
        <w:tc>
          <w:tcPr>
            <w:tcW w:w="646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18026CD0" w14:textId="03355331" w:rsidR="00BF7162" w:rsidRPr="00BF7162" w:rsidRDefault="00DA1045" w:rsidP="00BF71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color w:val="000000"/>
                <w:sz w:val="20"/>
                <w:szCs w:val="20"/>
              </w:rPr>
              <w:t>4-4-4 All-Purpose Fertilizer</w:t>
            </w:r>
          </w:p>
        </w:tc>
        <w:tc>
          <w:tcPr>
            <w:tcW w:w="483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1366" w14:textId="73D23DB0" w:rsidR="00BF7162" w:rsidRPr="00BF7162" w:rsidRDefault="00DA1045" w:rsidP="00BF71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sz w:val="20"/>
                <w:szCs w:val="20"/>
              </w:rPr>
              <w:t>Kellogg Garden Products</w:t>
            </w:r>
          </w:p>
        </w:tc>
        <w:tc>
          <w:tcPr>
            <w:tcW w:w="482" w:type="pct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  <w:hideMark/>
          </w:tcPr>
          <w:p w14:paraId="3395ED7F" w14:textId="024D6CE1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  <w:tc>
          <w:tcPr>
            <w:tcW w:w="481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F8E1" w14:textId="6F56A484" w:rsidR="00BF7162" w:rsidRPr="00BF7162" w:rsidRDefault="0082528B" w:rsidP="00BF716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B4874">
              <w:rPr>
                <w:rFonts w:eastAsia="Times New Roman" w:cstheme="minorHAnsi"/>
                <w:sz w:val="20"/>
                <w:szCs w:val="20"/>
              </w:rPr>
              <w:t>-</w:t>
            </w:r>
          </w:p>
        </w:tc>
      </w:tr>
    </w:tbl>
    <w:p w14:paraId="6F1FADF8" w14:textId="77777777" w:rsidR="00BF7162" w:rsidRPr="00EB4874" w:rsidRDefault="00BF7162" w:rsidP="00C74A11">
      <w:pPr>
        <w:rPr>
          <w:rFonts w:cstheme="minorHAnsi"/>
        </w:rPr>
      </w:pPr>
    </w:p>
    <w:sectPr w:rsidR="00BF7162" w:rsidRPr="00EB4874" w:rsidSect="00BF71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A1C6" w14:textId="77777777" w:rsidR="00E560C7" w:rsidRDefault="00E560C7" w:rsidP="00BC2C2E">
      <w:pPr>
        <w:spacing w:after="0" w:line="240" w:lineRule="auto"/>
      </w:pPr>
      <w:r>
        <w:separator/>
      </w:r>
    </w:p>
  </w:endnote>
  <w:endnote w:type="continuationSeparator" w:id="0">
    <w:p w14:paraId="52A6EEFB" w14:textId="77777777" w:rsidR="00E560C7" w:rsidRDefault="00E560C7" w:rsidP="00BC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1EFF" w14:textId="77777777" w:rsidR="00E560C7" w:rsidRDefault="00E560C7" w:rsidP="00BC2C2E">
      <w:pPr>
        <w:spacing w:after="0" w:line="240" w:lineRule="auto"/>
      </w:pPr>
      <w:r>
        <w:separator/>
      </w:r>
    </w:p>
  </w:footnote>
  <w:footnote w:type="continuationSeparator" w:id="0">
    <w:p w14:paraId="3AF17712" w14:textId="77777777" w:rsidR="00E560C7" w:rsidRDefault="00E560C7" w:rsidP="00BC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23B5" w14:textId="53D6BFEB" w:rsidR="00BC2C2E" w:rsidRDefault="00BC2C2E">
    <w:pPr>
      <w:pStyle w:val="Header"/>
    </w:pPr>
    <w:r>
      <w:t>Updated April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A6199"/>
    <w:multiLevelType w:val="hybridMultilevel"/>
    <w:tmpl w:val="30CC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A6CCA"/>
    <w:multiLevelType w:val="hybridMultilevel"/>
    <w:tmpl w:val="8A58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50FE"/>
    <w:multiLevelType w:val="hybridMultilevel"/>
    <w:tmpl w:val="B8947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0688"/>
    <w:multiLevelType w:val="hybridMultilevel"/>
    <w:tmpl w:val="7142893E"/>
    <w:lvl w:ilvl="0" w:tplc="C3949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2FDA"/>
    <w:multiLevelType w:val="hybridMultilevel"/>
    <w:tmpl w:val="D9843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6145F4"/>
    <w:multiLevelType w:val="hybridMultilevel"/>
    <w:tmpl w:val="E89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35C48"/>
    <w:multiLevelType w:val="hybridMultilevel"/>
    <w:tmpl w:val="0FBE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62"/>
    <w:rsid w:val="00002DF2"/>
    <w:rsid w:val="000122B4"/>
    <w:rsid w:val="00056AAB"/>
    <w:rsid w:val="00064757"/>
    <w:rsid w:val="000E7CD7"/>
    <w:rsid w:val="00126AA4"/>
    <w:rsid w:val="00172D6A"/>
    <w:rsid w:val="00175DBB"/>
    <w:rsid w:val="001971BE"/>
    <w:rsid w:val="001C1CBB"/>
    <w:rsid w:val="001D5FAA"/>
    <w:rsid w:val="002268CA"/>
    <w:rsid w:val="002C6D4A"/>
    <w:rsid w:val="002F5606"/>
    <w:rsid w:val="00315150"/>
    <w:rsid w:val="003244EC"/>
    <w:rsid w:val="00335A87"/>
    <w:rsid w:val="00336D9B"/>
    <w:rsid w:val="00353098"/>
    <w:rsid w:val="0035530F"/>
    <w:rsid w:val="00376B9D"/>
    <w:rsid w:val="003B7D0E"/>
    <w:rsid w:val="003E15EE"/>
    <w:rsid w:val="00410F67"/>
    <w:rsid w:val="0042202A"/>
    <w:rsid w:val="00456A5B"/>
    <w:rsid w:val="00487F89"/>
    <w:rsid w:val="004C44EE"/>
    <w:rsid w:val="004E5B16"/>
    <w:rsid w:val="004E5BC3"/>
    <w:rsid w:val="004F0125"/>
    <w:rsid w:val="00631DE3"/>
    <w:rsid w:val="00646E2A"/>
    <w:rsid w:val="006B6B24"/>
    <w:rsid w:val="006E0294"/>
    <w:rsid w:val="006F32AB"/>
    <w:rsid w:val="00712F61"/>
    <w:rsid w:val="00723388"/>
    <w:rsid w:val="007E73E7"/>
    <w:rsid w:val="007F347E"/>
    <w:rsid w:val="0082528B"/>
    <w:rsid w:val="00847273"/>
    <w:rsid w:val="0089129E"/>
    <w:rsid w:val="008E5A73"/>
    <w:rsid w:val="00992432"/>
    <w:rsid w:val="009C2261"/>
    <w:rsid w:val="009D1A8D"/>
    <w:rsid w:val="009E1E45"/>
    <w:rsid w:val="009F4B7F"/>
    <w:rsid w:val="00A3446D"/>
    <w:rsid w:val="00A429D9"/>
    <w:rsid w:val="00A83CAC"/>
    <w:rsid w:val="00AA026F"/>
    <w:rsid w:val="00B66653"/>
    <w:rsid w:val="00BA5391"/>
    <w:rsid w:val="00BB01F7"/>
    <w:rsid w:val="00BC2C2E"/>
    <w:rsid w:val="00BC3ACE"/>
    <w:rsid w:val="00BE751A"/>
    <w:rsid w:val="00BF7162"/>
    <w:rsid w:val="00C15022"/>
    <w:rsid w:val="00C45BA5"/>
    <w:rsid w:val="00C74A11"/>
    <w:rsid w:val="00CB42FB"/>
    <w:rsid w:val="00D0297D"/>
    <w:rsid w:val="00D60CE1"/>
    <w:rsid w:val="00D94796"/>
    <w:rsid w:val="00D961EA"/>
    <w:rsid w:val="00DA1045"/>
    <w:rsid w:val="00DA2FCC"/>
    <w:rsid w:val="00DB17F7"/>
    <w:rsid w:val="00DC2D8C"/>
    <w:rsid w:val="00DC7397"/>
    <w:rsid w:val="00E02233"/>
    <w:rsid w:val="00E04732"/>
    <w:rsid w:val="00E26A27"/>
    <w:rsid w:val="00E3132C"/>
    <w:rsid w:val="00E560C7"/>
    <w:rsid w:val="00EB4874"/>
    <w:rsid w:val="00EC71B8"/>
    <w:rsid w:val="00ED20D5"/>
    <w:rsid w:val="00EE47C4"/>
    <w:rsid w:val="00F00D26"/>
    <w:rsid w:val="00F03D1E"/>
    <w:rsid w:val="00F367ED"/>
    <w:rsid w:val="00F54E1E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B357"/>
  <w15:chartTrackingRefBased/>
  <w15:docId w15:val="{B0941090-BF5B-4EF3-93E4-094DD92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162"/>
    <w:rPr>
      <w:color w:val="0563C1"/>
      <w:u w:val="single"/>
    </w:rPr>
  </w:style>
  <w:style w:type="table" w:styleId="GridTable2-Accent3">
    <w:name w:val="Grid Table 2 Accent 3"/>
    <w:basedOn w:val="TableNormal"/>
    <w:uiPriority w:val="47"/>
    <w:rsid w:val="00BF716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315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2E"/>
  </w:style>
  <w:style w:type="paragraph" w:styleId="Footer">
    <w:name w:val="footer"/>
    <w:basedOn w:val="Normal"/>
    <w:link w:val="FooterChar"/>
    <w:uiPriority w:val="99"/>
    <w:unhideWhenUsed/>
    <w:rsid w:val="00BC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2E"/>
  </w:style>
  <w:style w:type="table" w:styleId="TableGrid">
    <w:name w:val="Table Grid"/>
    <w:basedOn w:val="TableNormal"/>
    <w:uiPriority w:val="39"/>
    <w:rsid w:val="0017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ger.ca/produits-horticoles/bm2-sem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l-sf.com/us-en/products/ornamental_horticulture/osmocote-a90550-14-14-14-3-4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ger.ca/produits-horticoles/bm6-utilisation-gener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69379-4681-4B45-B769-13524B7E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Matos, Juliana</dc:creator>
  <cp:keywords/>
  <dc:description/>
  <cp:lastModifiedBy>Matos, Juliana</cp:lastModifiedBy>
  <cp:revision>2</cp:revision>
  <dcterms:created xsi:type="dcterms:W3CDTF">2022-05-04T19:01:00Z</dcterms:created>
  <dcterms:modified xsi:type="dcterms:W3CDTF">2022-05-04T19:01:00Z</dcterms:modified>
</cp:coreProperties>
</file>